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Style w:val="TableGrid"/>
        <w:tblpPr w:leftFromText="180" w:rightFromText="180" w:vertAnchor="text" w:horzAnchor="margin" w:tblpY="12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227" w:type="dxa"/>
          <w:bottom w:w="113" w:type="dxa"/>
          <w:right w:w="227" w:type="dxa"/>
        </w:tblCellMar>
        <w:tblLook w:val="04A0" w:firstRow="1" w:lastRow="0" w:firstColumn="1" w:lastColumn="0" w:noHBand="0" w:noVBand="1"/>
      </w:tblPr>
      <w:tblGrid>
        <w:gridCol w:w="2519"/>
        <w:gridCol w:w="3644"/>
        <w:gridCol w:w="5509"/>
      </w:tblGrid>
      <w:tr w:rsidR="00216C78" w:rsidTr="00216C78">
        <w:tc>
          <w:tcPr>
            <w:tcW w:w="6163" w:type="dxa"/>
            <w:gridSpan w:val="2"/>
            <w:vAlign w:val="center"/>
          </w:tcPr>
          <w:bookmarkStart w:id="0" w:name="_GoBack"/>
          <w:bookmarkEnd w:id="0"/>
          <w:p w:rsidR="00216C78" w:rsidRPr="006A3452" w:rsidRDefault="00216C78" w:rsidP="00216C78">
            <w:pPr>
              <w:spacing w:after="120"/>
              <w:rPr>
                <w:rFonts w:cstheme="minorHAnsi"/>
                <w:b/>
                <w:spacing w:val="40"/>
                <w:sz w:val="56"/>
                <w:szCs w:val="56"/>
              </w:rPr>
            </w:pPr>
            <w:r>
              <w:rPr>
                <w:rFonts w:cstheme="minorHAnsi"/>
                <w:b/>
                <w:noProof/>
                <w:color w:val="FFFFFF" w:themeColor="background1"/>
                <w:spacing w:val="40"/>
                <w:sz w:val="56"/>
                <w:szCs w:val="56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1" layoutInCell="1" allowOverlap="1" wp14:anchorId="7347D5D2" wp14:editId="25E2C7E3">
                      <wp:simplePos x="0" y="0"/>
                      <wp:positionH relativeFrom="column">
                        <wp:posOffset>-324485</wp:posOffset>
                      </wp:positionH>
                      <wp:positionV relativeFrom="paragraph">
                        <wp:posOffset>-499745</wp:posOffset>
                      </wp:positionV>
                      <wp:extent cx="7772400" cy="1082040"/>
                      <wp:effectExtent l="0" t="0" r="0" b="381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72400" cy="10820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6D4E9B" id="Rectangle 1" o:spid="_x0000_s1026" style="position:absolute;margin-left:-25.55pt;margin-top:-39.35pt;width:612pt;height:85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" fillcolor="#393737 [814]" stroked="f" strokeweight="1pt">
                      <w10:anchorlock/>
                    </v:rect>
                  </w:pict>
                </mc:Fallback>
              </mc:AlternateContent>
            </w:r>
            <w:r w:rsidRPr="006A3452">
              <w:rPr>
                <w:rFonts w:cstheme="minorHAnsi"/>
                <w:b/>
                <w:color w:val="F2F2F2" w:themeColor="background1" w:themeShade="F2"/>
                <w:spacing w:val="40"/>
                <w:sz w:val="56"/>
                <w:szCs w:val="56"/>
              </w:rPr>
              <w:t>Spencer Reeves</w:t>
            </w:r>
          </w:p>
        </w:tc>
        <w:tc>
          <w:tcPr>
            <w:tcW w:w="5509" w:type="dxa"/>
            <w:vAlign w:val="center"/>
          </w:tcPr>
          <w:p w:rsidR="00216C78" w:rsidRPr="00016F73" w:rsidRDefault="00216C78" w:rsidP="00216C78">
            <w:pPr>
              <w:jc w:val="right"/>
              <w:rPr>
                <w:spacing w:val="40"/>
                <w:sz w:val="24"/>
                <w:szCs w:val="24"/>
              </w:rPr>
            </w:pPr>
            <w:r w:rsidRPr="00016F73">
              <w:rPr>
                <w:color w:val="F2F2F2" w:themeColor="background1" w:themeShade="F2"/>
                <w:spacing w:val="40"/>
                <w:sz w:val="24"/>
                <w:szCs w:val="24"/>
              </w:rPr>
              <w:t>Operations Manager</w:t>
            </w:r>
          </w:p>
        </w:tc>
      </w:tr>
      <w:tr w:rsidR="00216C78" w:rsidTr="00481905">
        <w:tc>
          <w:tcPr>
            <w:tcW w:w="11672" w:type="dxa"/>
            <w:gridSpan w:val="3"/>
            <w:tcBorders>
              <w:bottom w:val="single" w:sz="8" w:space="0" w:color="404040" w:themeColor="text1" w:themeTint="BF"/>
            </w:tcBorders>
          </w:tcPr>
          <w:p w:rsidR="00216C78" w:rsidRPr="009D1055" w:rsidRDefault="00216C78" w:rsidP="00216C78">
            <w:pPr>
              <w:rPr>
                <w:color w:val="F2F2F2" w:themeColor="background1" w:themeShade="F2"/>
              </w:rPr>
            </w:pPr>
            <w:r w:rsidRPr="00D70F04">
              <w:rPr>
                <w:color w:val="262626" w:themeColor="text1" w:themeTint="D9"/>
              </w:rPr>
              <w:t>4567 Main Street  //  Metropolis, NY 98052  //  (716) 555 - 0100  //  sonu@example.com</w:t>
            </w:r>
          </w:p>
        </w:tc>
      </w:tr>
      <w:tr w:rsidR="00216C78" w:rsidTr="00481905">
        <w:tc>
          <w:tcPr>
            <w:tcW w:w="2519" w:type="dxa"/>
            <w:tcBorders>
              <w:top w:val="single" w:sz="8" w:space="0" w:color="404040" w:themeColor="text1" w:themeTint="BF"/>
              <w:bottom w:val="single" w:sz="8" w:space="0" w:color="404040" w:themeColor="text1" w:themeTint="BF"/>
            </w:tcBorders>
          </w:tcPr>
          <w:p w:rsidR="00216C78" w:rsidRPr="00F21BC5" w:rsidRDefault="00216C78" w:rsidP="00216C78">
            <w:pPr>
              <w:jc w:val="right"/>
              <w:rPr>
                <w:b/>
                <w:spacing w:val="40"/>
                <w:sz w:val="28"/>
                <w:szCs w:val="28"/>
              </w:rPr>
            </w:pPr>
            <w:r w:rsidRPr="00F21BC5">
              <w:rPr>
                <w:b/>
                <w:color w:val="262626" w:themeColor="text1" w:themeTint="D9"/>
                <w:spacing w:val="40"/>
                <w:sz w:val="28"/>
                <w:szCs w:val="28"/>
              </w:rPr>
              <w:t>PROFILE</w:t>
            </w:r>
          </w:p>
        </w:tc>
        <w:tc>
          <w:tcPr>
            <w:tcW w:w="9153" w:type="dxa"/>
            <w:gridSpan w:val="2"/>
            <w:tcBorders>
              <w:top w:val="single" w:sz="8" w:space="0" w:color="404040" w:themeColor="text1" w:themeTint="BF"/>
              <w:bottom w:val="single" w:sz="8" w:space="0" w:color="404040" w:themeColor="text1" w:themeTint="BF"/>
            </w:tcBorders>
          </w:tcPr>
          <w:p w:rsidR="00216C78" w:rsidRDefault="00216C78" w:rsidP="00216C78">
            <w:pPr>
              <w:spacing w:line="276" w:lineRule="auto"/>
            </w:pPr>
            <w:r w:rsidRPr="00CD2876">
              <w:t xml:space="preserve">Results-driven Operations Manager with over a decade of experience optimizing processes, improving efficiency, and leading cross-functional teams in fast-paced technology-driven environments. Skilled in strategic planning, workflow automation, and cost reduction initiatives that enhance organizational </w:t>
            </w:r>
            <w:r w:rsidRPr="00481905">
              <w:rPr>
                <w:color w:val="404040" w:themeColor="text1" w:themeTint="BF"/>
              </w:rPr>
              <w:t>performance</w:t>
            </w:r>
            <w:r w:rsidRPr="00CD2876">
              <w:t>. Proven track record of delivering measurable improvements in productivity, quality, and client satisfaction. Seeking to leverage leadership expertise to drive operational excellence in a forward-thinking organization.</w:t>
            </w:r>
          </w:p>
        </w:tc>
      </w:tr>
      <w:tr w:rsidR="00216C78" w:rsidTr="00481905">
        <w:tc>
          <w:tcPr>
            <w:tcW w:w="2519" w:type="dxa"/>
            <w:tcBorders>
              <w:top w:val="single" w:sz="8" w:space="0" w:color="404040" w:themeColor="text1" w:themeTint="BF"/>
              <w:bottom w:val="single" w:sz="8" w:space="0" w:color="404040" w:themeColor="text1" w:themeTint="BF"/>
            </w:tcBorders>
          </w:tcPr>
          <w:p w:rsidR="00216C78" w:rsidRDefault="00216C78" w:rsidP="00216C78">
            <w:pPr>
              <w:jc w:val="right"/>
            </w:pPr>
            <w:r>
              <w:rPr>
                <w:b/>
                <w:color w:val="262626" w:themeColor="text1" w:themeTint="D9"/>
                <w:spacing w:val="40"/>
                <w:sz w:val="28"/>
                <w:szCs w:val="28"/>
              </w:rPr>
              <w:t>EDUCATION</w:t>
            </w:r>
          </w:p>
        </w:tc>
        <w:tc>
          <w:tcPr>
            <w:tcW w:w="9153" w:type="dxa"/>
            <w:gridSpan w:val="2"/>
            <w:tcBorders>
              <w:top w:val="single" w:sz="8" w:space="0" w:color="404040" w:themeColor="text1" w:themeTint="BF"/>
              <w:bottom w:val="single" w:sz="8" w:space="0" w:color="404040" w:themeColor="text1" w:themeTint="BF"/>
            </w:tcBorders>
          </w:tcPr>
          <w:p w:rsidR="00216C78" w:rsidRPr="00EC780A" w:rsidRDefault="00216C78" w:rsidP="00216C78">
            <w:pPr>
              <w:spacing w:line="276" w:lineRule="auto"/>
              <w:rPr>
                <w:b/>
                <w:color w:val="404040" w:themeColor="text1" w:themeTint="BF"/>
              </w:rPr>
            </w:pPr>
            <w:r w:rsidRPr="00EC780A">
              <w:rPr>
                <w:b/>
                <w:color w:val="404040" w:themeColor="text1" w:themeTint="BF"/>
              </w:rPr>
              <w:t>Master of Business Administration (MBA) – Operations Management</w:t>
            </w:r>
          </w:p>
          <w:p w:rsidR="00216C78" w:rsidRDefault="00216C78" w:rsidP="00216C78">
            <w:pPr>
              <w:spacing w:line="276" w:lineRule="auto"/>
            </w:pPr>
            <w:r>
              <w:t>University of Texas at Austin, Austin, TX – 2014</w:t>
            </w:r>
          </w:p>
          <w:p w:rsidR="00216C78" w:rsidRPr="00EC780A" w:rsidRDefault="00216C78" w:rsidP="00216C78">
            <w:pPr>
              <w:spacing w:before="120" w:line="276" w:lineRule="auto"/>
              <w:rPr>
                <w:b/>
                <w:color w:val="404040" w:themeColor="text1" w:themeTint="BF"/>
              </w:rPr>
            </w:pPr>
            <w:r w:rsidRPr="00EC780A">
              <w:rPr>
                <w:b/>
                <w:color w:val="404040" w:themeColor="text1" w:themeTint="BF"/>
              </w:rPr>
              <w:t>Bachelor of Science – Business Administration</w:t>
            </w:r>
          </w:p>
          <w:p w:rsidR="00216C78" w:rsidRDefault="00216C78" w:rsidP="00216C78">
            <w:pPr>
              <w:spacing w:line="276" w:lineRule="auto"/>
            </w:pPr>
            <w:r>
              <w:t>University of Houston, Houston, TX – 2010</w:t>
            </w:r>
          </w:p>
        </w:tc>
      </w:tr>
      <w:tr w:rsidR="00216C78" w:rsidTr="00481905">
        <w:tc>
          <w:tcPr>
            <w:tcW w:w="2519" w:type="dxa"/>
            <w:tcBorders>
              <w:top w:val="single" w:sz="8" w:space="0" w:color="404040" w:themeColor="text1" w:themeTint="BF"/>
              <w:bottom w:val="single" w:sz="8" w:space="0" w:color="404040" w:themeColor="text1" w:themeTint="BF"/>
            </w:tcBorders>
          </w:tcPr>
          <w:p w:rsidR="00216C78" w:rsidRDefault="00216C78" w:rsidP="00216C78">
            <w:pPr>
              <w:jc w:val="right"/>
            </w:pPr>
            <w:r w:rsidRPr="00AB4CBC">
              <w:rPr>
                <w:b/>
                <w:color w:val="262626" w:themeColor="text1" w:themeTint="D9"/>
                <w:spacing w:val="40"/>
                <w:sz w:val="28"/>
                <w:szCs w:val="28"/>
              </w:rPr>
              <w:t>EXPERIENCE</w:t>
            </w:r>
          </w:p>
        </w:tc>
        <w:tc>
          <w:tcPr>
            <w:tcW w:w="9153" w:type="dxa"/>
            <w:gridSpan w:val="2"/>
            <w:tcBorders>
              <w:top w:val="single" w:sz="8" w:space="0" w:color="404040" w:themeColor="text1" w:themeTint="BF"/>
              <w:bottom w:val="single" w:sz="8" w:space="0" w:color="404040" w:themeColor="text1" w:themeTint="BF"/>
            </w:tcBorders>
          </w:tcPr>
          <w:p w:rsidR="00216C78" w:rsidRDefault="00216C78" w:rsidP="00216C78">
            <w:pPr>
              <w:spacing w:line="276" w:lineRule="auto"/>
            </w:pPr>
            <w:r w:rsidRPr="00CA19FF">
              <w:rPr>
                <w:b/>
                <w:color w:val="404040" w:themeColor="text1" w:themeTint="BF"/>
              </w:rPr>
              <w:t>Operations Manager</w:t>
            </w:r>
            <w:r>
              <w:t xml:space="preserve"> | TechCore Solutions, San Francisco, CA</w:t>
            </w:r>
          </w:p>
          <w:p w:rsidR="00216C78" w:rsidRDefault="00216C78" w:rsidP="00216C78">
            <w:pPr>
              <w:spacing w:line="276" w:lineRule="auto"/>
            </w:pPr>
            <w:r>
              <w:t>Jan 20XX – Present</w:t>
            </w:r>
          </w:p>
          <w:p w:rsidR="00216C78" w:rsidRDefault="00216C78" w:rsidP="00216C7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Directed strategy across 4 business units, achieving a 22% increase in process efficiency.</w:t>
            </w:r>
          </w:p>
          <w:p w:rsidR="00216C78" w:rsidRDefault="00216C78" w:rsidP="00216C7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Implemented Six Sigma methodologies, reducing waste and costs by $1.2M annually.</w:t>
            </w:r>
          </w:p>
          <w:p w:rsidR="00216C78" w:rsidRDefault="00216C78" w:rsidP="00216C7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Coordinated cross-functional teams to launch a new service delivery model, increasing client satisfaction scores from 82% to 94%.</w:t>
            </w:r>
          </w:p>
          <w:p w:rsidR="00216C78" w:rsidRDefault="00216C78" w:rsidP="00216C7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Negotiated contracts, resulting in 15% annual cost reduction without compromising quality.</w:t>
            </w:r>
          </w:p>
          <w:p w:rsidR="00216C78" w:rsidRDefault="00216C78" w:rsidP="00216C7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Streamlined onboarding, reducing training time by 25% while improving retention rates.</w:t>
            </w:r>
          </w:p>
          <w:p w:rsidR="00216C78" w:rsidRDefault="00216C78" w:rsidP="00216C7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Led remote operations transition during COVID-19, maintaining 100% service uptime.</w:t>
            </w:r>
          </w:p>
          <w:p w:rsidR="00216C78" w:rsidRDefault="00216C78" w:rsidP="00216C78">
            <w:pPr>
              <w:spacing w:before="120" w:line="276" w:lineRule="auto"/>
            </w:pPr>
            <w:r w:rsidRPr="009D3615">
              <w:rPr>
                <w:b/>
                <w:color w:val="404040" w:themeColor="text1" w:themeTint="BF"/>
              </w:rPr>
              <w:t>Senior Operations Supervisor</w:t>
            </w:r>
            <w:r w:rsidRPr="009D3615">
              <w:rPr>
                <w:color w:val="404040" w:themeColor="text1" w:themeTint="BF"/>
              </w:rPr>
              <w:t xml:space="preserve"> </w:t>
            </w:r>
            <w:r>
              <w:t>| Innovatech Global, Austin, TX</w:t>
            </w:r>
          </w:p>
          <w:p w:rsidR="00216C78" w:rsidRDefault="00216C78" w:rsidP="00216C78">
            <w:pPr>
              <w:spacing w:line="276" w:lineRule="auto"/>
            </w:pPr>
            <w:r>
              <w:t>May 20XX – Dec 20XX</w:t>
            </w:r>
          </w:p>
          <w:p w:rsidR="00216C78" w:rsidRDefault="00216C78" w:rsidP="00216C78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>Managed daily operations for 50-member team, achieving on-time delivery rates above 98%.</w:t>
            </w:r>
          </w:p>
          <w:p w:rsidR="00216C78" w:rsidRDefault="00216C78" w:rsidP="00216C78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>Introduced workflow automation tools, cutting administrative tasks by 30%.</w:t>
            </w:r>
          </w:p>
          <w:p w:rsidR="00216C78" w:rsidRDefault="00216C78" w:rsidP="00216C78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>Oversaw supply chain operations, reducing stockouts by 40% through predictive analytics.</w:t>
            </w:r>
          </w:p>
          <w:p w:rsidR="00216C78" w:rsidRDefault="00216C78" w:rsidP="00216C78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>Coordinated quarterly audits, ensuring 100% compliance with regulatory requirements.</w:t>
            </w:r>
          </w:p>
          <w:p w:rsidR="00216C78" w:rsidRDefault="00216C78" w:rsidP="00216C78">
            <w:pPr>
              <w:spacing w:before="100" w:line="276" w:lineRule="auto"/>
            </w:pPr>
            <w:r w:rsidRPr="00A70FC6">
              <w:rPr>
                <w:b/>
                <w:color w:val="404040" w:themeColor="text1" w:themeTint="BF"/>
              </w:rPr>
              <w:t>Operations Coordinator</w:t>
            </w:r>
            <w:r w:rsidRPr="00A70FC6">
              <w:rPr>
                <w:color w:val="404040" w:themeColor="text1" w:themeTint="BF"/>
              </w:rPr>
              <w:t xml:space="preserve"> </w:t>
            </w:r>
            <w:r>
              <w:t>| BrightPath Systems, Dallas, TX</w:t>
            </w:r>
          </w:p>
          <w:p w:rsidR="00216C78" w:rsidRDefault="00216C78" w:rsidP="00216C78">
            <w:pPr>
              <w:spacing w:line="276" w:lineRule="auto"/>
            </w:pPr>
            <w:r>
              <w:t>Aug 20XX – Apr 20XX</w:t>
            </w:r>
          </w:p>
          <w:p w:rsidR="00216C78" w:rsidRDefault="00216C78" w:rsidP="00216C78">
            <w:pPr>
              <w:pStyle w:val="ListParagraph"/>
              <w:numPr>
                <w:ilvl w:val="0"/>
                <w:numId w:val="3"/>
              </w:numPr>
              <w:spacing w:line="276" w:lineRule="auto"/>
            </w:pPr>
            <w:r>
              <w:t>Monitored project timelines and resource allocation to ensure on-schedule delivery.</w:t>
            </w:r>
          </w:p>
          <w:p w:rsidR="00216C78" w:rsidRDefault="00216C78" w:rsidP="00216C78">
            <w:pPr>
              <w:pStyle w:val="ListParagraph"/>
              <w:numPr>
                <w:ilvl w:val="0"/>
                <w:numId w:val="3"/>
              </w:numPr>
              <w:spacing w:line="276" w:lineRule="auto"/>
            </w:pPr>
            <w:r>
              <w:t>Assisted in budget preparation, maintaining variance within 3% year-over-year.</w:t>
            </w:r>
          </w:p>
          <w:p w:rsidR="00216C78" w:rsidRDefault="00216C78" w:rsidP="00216C78">
            <w:pPr>
              <w:pStyle w:val="ListParagraph"/>
              <w:numPr>
                <w:ilvl w:val="0"/>
                <w:numId w:val="3"/>
              </w:numPr>
              <w:spacing w:line="276" w:lineRule="auto"/>
            </w:pPr>
            <w:r>
              <w:t>Coordinated logistics for multi-site operations, reducing transit delays by 12%.</w:t>
            </w:r>
          </w:p>
        </w:tc>
      </w:tr>
      <w:tr w:rsidR="00216C78" w:rsidTr="00481905">
        <w:tc>
          <w:tcPr>
            <w:tcW w:w="2519" w:type="dxa"/>
            <w:tcBorders>
              <w:top w:val="single" w:sz="8" w:space="0" w:color="404040" w:themeColor="text1" w:themeTint="BF"/>
              <w:bottom w:val="single" w:sz="8" w:space="0" w:color="404040" w:themeColor="text1" w:themeTint="BF"/>
            </w:tcBorders>
          </w:tcPr>
          <w:p w:rsidR="00216C78" w:rsidRDefault="00216C78" w:rsidP="00216C78">
            <w:pPr>
              <w:jc w:val="right"/>
            </w:pPr>
            <w:r>
              <w:rPr>
                <w:b/>
                <w:color w:val="262626" w:themeColor="text1" w:themeTint="D9"/>
                <w:spacing w:val="40"/>
                <w:sz w:val="28"/>
                <w:szCs w:val="28"/>
              </w:rPr>
              <w:t>SKILLS</w:t>
            </w:r>
          </w:p>
        </w:tc>
        <w:tc>
          <w:tcPr>
            <w:tcW w:w="9153" w:type="dxa"/>
            <w:gridSpan w:val="2"/>
            <w:tcBorders>
              <w:top w:val="single" w:sz="8" w:space="0" w:color="404040" w:themeColor="text1" w:themeTint="BF"/>
              <w:bottom w:val="single" w:sz="8" w:space="0" w:color="404040" w:themeColor="text1" w:themeTint="BF"/>
            </w:tcBorders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49"/>
              <w:gridCol w:w="4350"/>
            </w:tblGrid>
            <w:tr w:rsidR="00216C78" w:rsidTr="00CC1988">
              <w:tc>
                <w:tcPr>
                  <w:tcW w:w="4469" w:type="dxa"/>
                </w:tcPr>
                <w:p w:rsidR="00216C78" w:rsidRDefault="00216C78" w:rsidP="00B654D0">
                  <w:pPr>
                    <w:pStyle w:val="ListParagraph"/>
                    <w:framePr w:hSpace="180" w:wrap="around" w:vAnchor="text" w:hAnchor="margin" w:y="126"/>
                    <w:numPr>
                      <w:ilvl w:val="0"/>
                      <w:numId w:val="4"/>
                    </w:numPr>
                    <w:spacing w:line="276" w:lineRule="auto"/>
                  </w:pPr>
                  <w:r>
                    <w:t>Strategic Planning &amp; Execution</w:t>
                  </w:r>
                </w:p>
                <w:p w:rsidR="00216C78" w:rsidRDefault="00216C78" w:rsidP="00B654D0">
                  <w:pPr>
                    <w:pStyle w:val="ListParagraph"/>
                    <w:framePr w:hSpace="180" w:wrap="around" w:vAnchor="text" w:hAnchor="margin" w:y="126"/>
                    <w:numPr>
                      <w:ilvl w:val="0"/>
                      <w:numId w:val="4"/>
                    </w:numPr>
                    <w:spacing w:line="276" w:lineRule="auto"/>
                  </w:pPr>
                  <w:r>
                    <w:t>Process Improvement</w:t>
                  </w:r>
                </w:p>
                <w:p w:rsidR="00216C78" w:rsidRDefault="00216C78" w:rsidP="00B654D0">
                  <w:pPr>
                    <w:pStyle w:val="ListParagraph"/>
                    <w:framePr w:hSpace="180" w:wrap="around" w:vAnchor="text" w:hAnchor="margin" w:y="126"/>
                    <w:numPr>
                      <w:ilvl w:val="0"/>
                      <w:numId w:val="4"/>
                    </w:numPr>
                    <w:spacing w:line="276" w:lineRule="auto"/>
                  </w:pPr>
                  <w:r>
                    <w:t>Data Analysis &amp; Performance Metrics</w:t>
                  </w:r>
                </w:p>
                <w:p w:rsidR="00216C78" w:rsidRDefault="00216C78" w:rsidP="00B654D0">
                  <w:pPr>
                    <w:pStyle w:val="ListParagraph"/>
                    <w:framePr w:hSpace="180" w:wrap="around" w:vAnchor="text" w:hAnchor="margin" w:y="126"/>
                    <w:numPr>
                      <w:ilvl w:val="0"/>
                      <w:numId w:val="4"/>
                    </w:numPr>
                    <w:spacing w:line="276" w:lineRule="auto"/>
                  </w:pPr>
                  <w:r>
                    <w:t>Cross-Functional Team Leadership</w:t>
                  </w:r>
                </w:p>
                <w:p w:rsidR="00216C78" w:rsidRDefault="00216C78" w:rsidP="00B654D0">
                  <w:pPr>
                    <w:pStyle w:val="ListParagraph"/>
                    <w:framePr w:hSpace="180" w:wrap="around" w:vAnchor="text" w:hAnchor="margin" w:y="126"/>
                    <w:numPr>
                      <w:ilvl w:val="0"/>
                      <w:numId w:val="4"/>
                    </w:numPr>
                    <w:spacing w:line="276" w:lineRule="auto"/>
                  </w:pPr>
                  <w:r>
                    <w:t>ERP &amp; CRM Systems (SAP, Salesforce)</w:t>
                  </w:r>
                </w:p>
              </w:tc>
              <w:tc>
                <w:tcPr>
                  <w:tcW w:w="4470" w:type="dxa"/>
                </w:tcPr>
                <w:p w:rsidR="00216C78" w:rsidRDefault="00216C78" w:rsidP="00B654D0">
                  <w:pPr>
                    <w:pStyle w:val="ListParagraph"/>
                    <w:framePr w:hSpace="180" w:wrap="around" w:vAnchor="text" w:hAnchor="margin" w:y="126"/>
                    <w:numPr>
                      <w:ilvl w:val="0"/>
                      <w:numId w:val="4"/>
                    </w:numPr>
                    <w:spacing w:line="276" w:lineRule="auto"/>
                  </w:pPr>
                  <w:r>
                    <w:t>Supply Chain &amp; Inventory Management</w:t>
                  </w:r>
                </w:p>
                <w:p w:rsidR="00216C78" w:rsidRDefault="00216C78" w:rsidP="00B654D0">
                  <w:pPr>
                    <w:pStyle w:val="ListParagraph"/>
                    <w:framePr w:hSpace="180" w:wrap="around" w:vAnchor="text" w:hAnchor="margin" w:y="126"/>
                    <w:numPr>
                      <w:ilvl w:val="0"/>
                      <w:numId w:val="4"/>
                    </w:numPr>
                    <w:spacing w:line="276" w:lineRule="auto"/>
                  </w:pPr>
                  <w:r>
                    <w:t>Quality Assurance &amp; Compliance</w:t>
                  </w:r>
                </w:p>
                <w:p w:rsidR="00216C78" w:rsidRDefault="00216C78" w:rsidP="00B654D0">
                  <w:pPr>
                    <w:pStyle w:val="ListParagraph"/>
                    <w:framePr w:hSpace="180" w:wrap="around" w:vAnchor="text" w:hAnchor="margin" w:y="126"/>
                    <w:numPr>
                      <w:ilvl w:val="0"/>
                      <w:numId w:val="4"/>
                    </w:numPr>
                    <w:spacing w:line="276" w:lineRule="auto"/>
                  </w:pPr>
                  <w:r>
                    <w:t>Conflict Resolution &amp; Negotiation</w:t>
                  </w:r>
                </w:p>
                <w:p w:rsidR="00216C78" w:rsidRDefault="00216C78" w:rsidP="00B654D0">
                  <w:pPr>
                    <w:pStyle w:val="ListParagraph"/>
                    <w:framePr w:hSpace="180" w:wrap="around" w:vAnchor="text" w:hAnchor="margin" w:y="126"/>
                    <w:numPr>
                      <w:ilvl w:val="0"/>
                      <w:numId w:val="4"/>
                    </w:numPr>
                    <w:spacing w:line="276" w:lineRule="auto"/>
                  </w:pPr>
                  <w:r>
                    <w:t>Change Management</w:t>
                  </w:r>
                </w:p>
                <w:p w:rsidR="00216C78" w:rsidRDefault="00216C78" w:rsidP="00B654D0">
                  <w:pPr>
                    <w:pStyle w:val="ListParagraph"/>
                    <w:framePr w:hSpace="180" w:wrap="around" w:vAnchor="text" w:hAnchor="margin" w:y="126"/>
                    <w:numPr>
                      <w:ilvl w:val="0"/>
                      <w:numId w:val="4"/>
                    </w:numPr>
                    <w:spacing w:line="276" w:lineRule="auto"/>
                  </w:pPr>
                  <w:r>
                    <w:t>Vendor &amp; Stakeholder Relations</w:t>
                  </w:r>
                </w:p>
              </w:tc>
            </w:tr>
          </w:tbl>
          <w:p w:rsidR="00216C78" w:rsidRDefault="00216C78" w:rsidP="00216C78"/>
        </w:tc>
      </w:tr>
      <w:tr w:rsidR="00216C78" w:rsidTr="00481905">
        <w:tc>
          <w:tcPr>
            <w:tcW w:w="2519" w:type="dxa"/>
            <w:tcBorders>
              <w:top w:val="single" w:sz="8" w:space="0" w:color="404040" w:themeColor="text1" w:themeTint="BF"/>
            </w:tcBorders>
          </w:tcPr>
          <w:p w:rsidR="00216C78" w:rsidRDefault="00216C78" w:rsidP="00216C78">
            <w:pPr>
              <w:jc w:val="right"/>
            </w:pPr>
            <w:r>
              <w:rPr>
                <w:b/>
                <w:color w:val="262626" w:themeColor="text1" w:themeTint="D9"/>
                <w:spacing w:val="40"/>
                <w:sz w:val="28"/>
                <w:szCs w:val="28"/>
              </w:rPr>
              <w:t>CERTIFICATES</w:t>
            </w:r>
          </w:p>
        </w:tc>
        <w:tc>
          <w:tcPr>
            <w:tcW w:w="9153" w:type="dxa"/>
            <w:gridSpan w:val="2"/>
            <w:tcBorders>
              <w:top w:val="single" w:sz="8" w:space="0" w:color="404040" w:themeColor="text1" w:themeTint="BF"/>
            </w:tcBorders>
          </w:tcPr>
          <w:p w:rsidR="00216C78" w:rsidRDefault="00216C78" w:rsidP="00216C78">
            <w:pPr>
              <w:spacing w:line="276" w:lineRule="auto"/>
            </w:pPr>
            <w:r>
              <w:t>Lean Six Sigma Green Belt (LSSGB)</w:t>
            </w:r>
          </w:p>
          <w:p w:rsidR="00216C78" w:rsidRDefault="00216C78" w:rsidP="00216C78">
            <w:pPr>
              <w:spacing w:line="276" w:lineRule="auto"/>
            </w:pPr>
            <w:r>
              <w:t>Project Management Professional (PMP)</w:t>
            </w:r>
          </w:p>
        </w:tc>
      </w:tr>
    </w:tbl>
    <w:p w:rsidR="00A3653C" w:rsidRDefault="00A3653C"/>
    <w:sectPr w:rsidR="00A3653C" w:rsidSect="00770277">
      <w:pgSz w:w="12240" w:h="15840" w:code="1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76B9C"/>
    <w:multiLevelType w:val="hybridMultilevel"/>
    <w:tmpl w:val="1D965BB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097FC4"/>
    <w:multiLevelType w:val="hybridMultilevel"/>
    <w:tmpl w:val="9E18997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FF4289"/>
    <w:multiLevelType w:val="hybridMultilevel"/>
    <w:tmpl w:val="9978338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DB802E9"/>
    <w:multiLevelType w:val="hybridMultilevel"/>
    <w:tmpl w:val="B406F7C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873"/>
    <w:rsid w:val="00016F73"/>
    <w:rsid w:val="000A4FFA"/>
    <w:rsid w:val="000A559D"/>
    <w:rsid w:val="000E4D91"/>
    <w:rsid w:val="00137ADE"/>
    <w:rsid w:val="00183C2B"/>
    <w:rsid w:val="00186339"/>
    <w:rsid w:val="001C41B5"/>
    <w:rsid w:val="00216C78"/>
    <w:rsid w:val="002222F7"/>
    <w:rsid w:val="002C0EA5"/>
    <w:rsid w:val="002C6551"/>
    <w:rsid w:val="00383E75"/>
    <w:rsid w:val="00400B51"/>
    <w:rsid w:val="004118A7"/>
    <w:rsid w:val="00481905"/>
    <w:rsid w:val="004D245C"/>
    <w:rsid w:val="005305FA"/>
    <w:rsid w:val="0053607D"/>
    <w:rsid w:val="00593D2C"/>
    <w:rsid w:val="005A5458"/>
    <w:rsid w:val="005F0094"/>
    <w:rsid w:val="00613FFB"/>
    <w:rsid w:val="00633D37"/>
    <w:rsid w:val="00695B0A"/>
    <w:rsid w:val="006A3452"/>
    <w:rsid w:val="006B3E69"/>
    <w:rsid w:val="006C1F43"/>
    <w:rsid w:val="006D6D15"/>
    <w:rsid w:val="00770277"/>
    <w:rsid w:val="007D4873"/>
    <w:rsid w:val="00826399"/>
    <w:rsid w:val="008F107E"/>
    <w:rsid w:val="009D1055"/>
    <w:rsid w:val="009D3615"/>
    <w:rsid w:val="00A3653C"/>
    <w:rsid w:val="00A70FC6"/>
    <w:rsid w:val="00AB4CBC"/>
    <w:rsid w:val="00AE1527"/>
    <w:rsid w:val="00B25FF4"/>
    <w:rsid w:val="00B654D0"/>
    <w:rsid w:val="00C643E8"/>
    <w:rsid w:val="00CA19FF"/>
    <w:rsid w:val="00CC3661"/>
    <w:rsid w:val="00CD2876"/>
    <w:rsid w:val="00D054F6"/>
    <w:rsid w:val="00D5026C"/>
    <w:rsid w:val="00D70F04"/>
    <w:rsid w:val="00E33FE2"/>
    <w:rsid w:val="00EB075D"/>
    <w:rsid w:val="00EC780A"/>
    <w:rsid w:val="00F2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DA3B8-AD4B-42D2-A08A-310902B08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3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19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Resume-Craft</dc:creator>
  <cp:keywords/>
  <dc:description/>
  <cp:lastModifiedBy>Nitesh Kumar</cp:lastModifiedBy>
  <cp:revision>2</cp:revision>
  <cp:lastPrinted>2025-08-10T15:23:00Z</cp:lastPrinted>
  <dcterms:created xsi:type="dcterms:W3CDTF">2025-08-10T15:00:00Z</dcterms:created>
  <dcterms:modified xsi:type="dcterms:W3CDTF">2025-11-03T13:56:00Z</dcterms:modified>
</cp:coreProperties>
</file>